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CIRCOLO TERRITORIALE DI VILLA SAN GIOVANNI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b/>
          <w:i/>
          <w:i/>
          <w:sz w:val="16"/>
          <w:szCs w:val="16"/>
        </w:rPr>
      </w:pPr>
      <w:r>
        <w:rPr>
          <w:rFonts w:eastAsia="Calibri"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Dichiarazione del gruppo PD in merito al punto n.6 (integrazione del 27.05.2019) “Approvazione </w:t>
      </w:r>
      <w:r>
        <w:rPr>
          <w:strike/>
          <w:sz w:val="18"/>
          <w:szCs w:val="18"/>
        </w:rPr>
        <w:t>schema</w:t>
      </w:r>
      <w:r>
        <w:rPr>
          <w:sz w:val="18"/>
          <w:szCs w:val="18"/>
        </w:rPr>
        <w:t xml:space="preserve"> convenzione di concessione tra ANAS e Comune di Villa San Giovanni, Consiglio Comunale del 30.05.2019.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Ci corre l’obbligo, oggi 30 maggio 2019, entrare nel merito dei contenuti e tipologia del documento di cui al punto n.6 dell’odierno Consiglio Comunale soprattutto per il nostro ruolo di minoranza e opposizione di controllo e di proposta.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Premesso che, ricevuto in copia il documento di cui al punto n.6 in data 28 maggio 2019 vogliamo evidenziare intanto che, l’atto di convenzione, e di stipula di cui al punto n. 6 era già stato firmato dalle parti (ANAS e Sindaco della Città di Villa San Giovanni) il giorno precedente esattamente il 27 maggio 2019.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Riteniamo doveroso e responsabile segnalare pur nella ristrettezza dei tempi a nostra disposizione, tempi che, contrastano certamente con le necessità di approfondimento discussione e partecipazione che, tale atto( unilaterale a nostro avviso rispetto alle funzioni demandate al consiglio comunale) necessitava relativamente alla portata di quanto oggi ci viene sottoposto per ratifica.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Orbene nonostante il limitato tempo, alcune riflessioni preliminari riteniamo di farle e lasciare traccia, in particolare: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ART.2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2 comma 1, “ … da destinarsi a piazzale di sosta per autovetture in attesa di imbarco ….”: vuol dire che i mezzi pesanti non entreranno nel piazzale?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E’ già prevista per loro una diversa area di sosta e quale?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Ma soprattutto: l’art. 2 prevede la durata della concessione in 15 anni e il concessionario si impegna a destinare “in via esclusiva l’area all’uso di piazzale di sosta in attesa degli imbarchi….”:  ciò in violazione della delibera del Consiglio Comunale del 31/12/2001 che voleva i piazzali fossero restituiti alla città per farne un polmone verde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Art. 2 comma 1, “ …nonché l’accesso diretto dal piazzale stesso ai sovrapassaggi …”: vuol dire che l’accesso avverrà per tutte le compagnie dal torrente Solaro e dal cancello RFI?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ART.3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3, lett.a: cosa accade in termini economici e di validità se non si concludono entro i 12 mesi il sub concessionario?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Chi dovrà affrontare la riqualificazione e le opere ambientali (e quali costi oggi non stimati) del terreno, assieme ai costi della manutenzione ordinaria e straordinaria?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Inoltre anche delle opere al punto d, non ci sono previsioni di costo, sicuramente risulteranno molto onerose…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Inoltre si andrà in revoca o scatterà la penale di 1.300 euro per ciascuna infrazione, con una previsione di infrazioni enorme?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lettera h “le opere resteranno nella proprietà di Anas a titolo gratuito”: facciamo beneficienza ad ANAS?dovrebbe essere all’opposto che chi realizza a proprie spese acquisisce la proprietà del bene realizzato (almeno in simili interventi è quasi sempre stato così)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Non vi è evidenza e previsione di una stima del valore delle opere all’atto della riconsegna, ovviamente in contraddittorio tra le parti.  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ART. 6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REVOCA: si revoca, appunto per violazione dell’art.3 ma anche per “</w:t>
      </w:r>
      <w:r>
        <w:rPr>
          <w:sz w:val="18"/>
          <w:szCs w:val="18"/>
          <w:u w:val="single"/>
        </w:rPr>
        <w:t>sopravvenute esigenze di sicurezza e pubblica incolumità, senza che per tale fatto il comune possa avanzare pretese per danni e indennizzi</w:t>
      </w:r>
      <w:r>
        <w:rPr>
          <w:sz w:val="18"/>
          <w:szCs w:val="18"/>
        </w:rPr>
        <w:t>”.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Si lascia intendere quindi che le opere realizzate sono a costo zero per Anas? E aimé dobbiamo pure pagare le spese della riconsegna.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9 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CLAUSOLA DI SALVAGU</w:t>
      </w:r>
      <w:bookmarkStart w:id="0" w:name="_GoBack"/>
      <w:bookmarkEnd w:id="0"/>
      <w:r>
        <w:rPr>
          <w:sz w:val="18"/>
          <w:szCs w:val="18"/>
        </w:rPr>
        <w:t>ARDIA: da quanto stipulato e controfirmato non riusciamo a focalizzare bene il grande vantaggio economico e strutturale per la Città di Villa San Giovanni mentre il tutto sembrerebbe, da una analisi complessiva ma sicuramente priva di approfondimenti necessari, a vantaggio di Anas.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INOLTRE questa concessione prima di essere firmata non doveva essere deliberata dal consiglio in base all’art. 42 del d. lgs. n. 267/00 che stabilisce “il consiglio è chiamato ad esprimere gli indirizzi politici e amministrativi di rilievo generale, e al comma 2, lett. e) il potere di deliberare in ordine all' 'affidamento di attività o servizi mediante convenzione”, ne consegue che spetta al Consiglio Comunale l'approvazione dello schema di convenzione e successivamente la presa d’atto e la ratifica in consiglio della convenzione firmata e stipulata.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Sotto il profilo politico e delle prerogative dei consiglieri è certamente così, in caso contrario (cioè sia stato considerato atto amministrativo) si configura solo una mera presa d’atto visto che è già stata sottoscritta e la giunta e il sindaco se ne sono assunti la responsabilità.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Alla luce delle valutazioni di cui sopra, le sole di cui siamo a conoscenza! Possiamo solo constatare che, sono state disattese le decisioni e la metodologia di approccio democratico e partecipativo, ulteriore dimostrazione dell’atteggiamento, con decisioni a colpi di maggioranza, anche rispetto a diversità di pensiero manifestatesi tra le sue fila.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Villa San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Giovanni lì 30 maggio 2019  </w:t>
      </w:r>
    </w:p>
    <w:p>
      <w:pPr>
        <w:pStyle w:val="Normal"/>
        <w:spacing w:lineRule="auto" w:line="36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sz w:val="18"/>
          <w:szCs w:val="18"/>
        </w:rPr>
        <w:t xml:space="preserve">Gruppo PD 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1134" w:header="708" w:top="1417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25459180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drawing>
        <wp:inline distT="0" distB="0" distL="0" distR="0">
          <wp:extent cx="881380" cy="881380"/>
          <wp:effectExtent l="0" t="0" r="0" b="0"/>
          <wp:docPr id="1" name="Immagine 4" descr="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P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d3c2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d3c24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6d3c24"/>
    <w:rPr>
      <w:rFonts w:ascii="Tahoma" w:hAnsi="Tahoma" w:cs="Tahoma"/>
      <w:sz w:val="16"/>
      <w:szCs w:val="16"/>
    </w:rPr>
  </w:style>
  <w:style w:type="character" w:styleId="Textexposedshow" w:customStyle="1">
    <w:name w:val="text_exposed_show"/>
    <w:basedOn w:val="DefaultParagraphFont"/>
    <w:qFormat/>
    <w:rsid w:val="006d3c24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iPriority w:val="99"/>
    <w:unhideWhenUsed/>
    <w:rsid w:val="006d3c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6d3c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3c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06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LibreOffice/6.1.0.3$Windows_X86_64 LibreOffice_project/efb621ed25068d70781dc026f7e9c5187a4decd1</Application>
  <Pages>2</Pages>
  <Words>773</Words>
  <Characters>4163</Characters>
  <CharactersWithSpaces>4940</CharactersWithSpaces>
  <Paragraphs>30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2019-05-30T12:25:00Z</dcterms:created>
  <dc:creator>PD ciccone</dc:creator>
  <dc:description/>
  <dc:language>it-IT</dc:language>
  <cp:lastModifiedBy>CICCONE ANTONIO SALVATORE</cp:lastModifiedBy>
  <cp:lastPrinted>2019-05-30T14:11:00Z</cp:lastPrinted>
  <dcterms:modified xsi:type="dcterms:W3CDTF">2019-05-30T14:12:00Z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